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59B" w:rsidRPr="0005599E" w:rsidRDefault="0004659B" w:rsidP="0004659B">
      <w:pPr>
        <w:spacing w:before="120" w:after="120"/>
        <w:jc w:val="both"/>
        <w:rPr>
          <w:b/>
          <w:i/>
          <w:sz w:val="44"/>
          <w:szCs w:val="32"/>
          <w:lang w:val="en-US"/>
        </w:rPr>
      </w:pPr>
      <w:r w:rsidRPr="0005599E">
        <w:rPr>
          <w:b/>
          <w:i/>
          <w:sz w:val="40"/>
          <w:lang w:val="en-US"/>
        </w:rPr>
        <w:t>Septoject</w:t>
      </w:r>
    </w:p>
    <w:p w:rsidR="000C310D" w:rsidRDefault="000C310D" w:rsidP="003E5BEB">
      <w:pPr>
        <w:spacing w:before="120" w:after="120"/>
        <w:jc w:val="both"/>
        <w:rPr>
          <w:b/>
        </w:rPr>
      </w:pPr>
      <w:r>
        <w:rPr>
          <w:b/>
        </w:rPr>
        <w:t>Sterilní silikonizované dentální jehly z nerezové oceli se zkoseným značením</w:t>
      </w:r>
    </w:p>
    <w:p w:rsidR="006F689D" w:rsidRPr="00B47A04" w:rsidRDefault="006F689D" w:rsidP="003E5BEB">
      <w:pPr>
        <w:spacing w:before="120" w:after="120"/>
        <w:jc w:val="both"/>
        <w:rPr>
          <w:b/>
        </w:rPr>
      </w:pPr>
    </w:p>
    <w:p w:rsidR="0004659B" w:rsidRPr="0004659B" w:rsidRDefault="0004659B" w:rsidP="0004659B">
      <w:pPr>
        <w:spacing w:before="120" w:after="120"/>
        <w:jc w:val="both"/>
        <w:rPr>
          <w:b/>
          <w:i/>
          <w:sz w:val="44"/>
          <w:szCs w:val="32"/>
        </w:rPr>
      </w:pPr>
      <w:r w:rsidRPr="0004659B">
        <w:rPr>
          <w:b/>
          <w:i/>
          <w:sz w:val="40"/>
        </w:rPr>
        <w:t>Septoject XL</w:t>
      </w:r>
    </w:p>
    <w:p w:rsidR="00C65ED3" w:rsidRPr="00B47A04" w:rsidRDefault="000C310D" w:rsidP="003E5BEB">
      <w:pPr>
        <w:spacing w:before="120" w:after="120"/>
        <w:jc w:val="both"/>
        <w:rPr>
          <w:b/>
        </w:rPr>
      </w:pPr>
      <w:r>
        <w:rPr>
          <w:b/>
        </w:rPr>
        <w:t>Sterilní silikonizované dentální jehly z nerezové oceli se zkoseným značením - jehly s větším vnitřním průměrem</w:t>
      </w:r>
    </w:p>
    <w:p w:rsidR="0004659B" w:rsidRPr="00963D76" w:rsidRDefault="0004659B" w:rsidP="0004659B">
      <w:pPr>
        <w:pBdr>
          <w:top w:val="single" w:sz="12" w:space="1" w:color="auto"/>
        </w:pBdr>
        <w:tabs>
          <w:tab w:val="left" w:leader="dot" w:pos="3402"/>
          <w:tab w:val="decimal" w:pos="3828"/>
          <w:tab w:val="left" w:pos="10348"/>
        </w:tabs>
        <w:spacing w:before="120" w:after="120"/>
        <w:ind w:right="-2"/>
        <w:jc w:val="right"/>
        <w:rPr>
          <w:bCs/>
          <w:szCs w:val="24"/>
        </w:rPr>
      </w:pPr>
      <w:r>
        <w:rPr>
          <w:b/>
          <w:noProof/>
          <w:lang w:eastAsia="cs-CZ"/>
        </w:rPr>
        <w:drawing>
          <wp:inline distT="0" distB="0" distL="0" distR="0" wp14:anchorId="3FEFA587" wp14:editId="67AE013C">
            <wp:extent cx="446227" cy="318661"/>
            <wp:effectExtent l="0" t="0" r="0" b="571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6240" cy="318670"/>
                    </a:xfrm>
                    <a:prstGeom prst="rect">
                      <a:avLst/>
                    </a:prstGeom>
                    <a:noFill/>
                    <a:ln>
                      <a:noFill/>
                    </a:ln>
                  </pic:spPr>
                </pic:pic>
              </a:graphicData>
            </a:graphic>
          </wp:inline>
        </w:drawing>
      </w:r>
      <w:r w:rsidRPr="00963D76">
        <w:rPr>
          <w:b/>
        </w:rPr>
        <w:t>0459</w:t>
      </w:r>
    </w:p>
    <w:p w:rsidR="000A5C6A" w:rsidRPr="00B47A04" w:rsidRDefault="0004659B" w:rsidP="0004659B">
      <w:pPr>
        <w:autoSpaceDE w:val="0"/>
        <w:autoSpaceDN w:val="0"/>
        <w:adjustRightInd w:val="0"/>
        <w:spacing w:before="120" w:after="120"/>
        <w:jc w:val="both"/>
        <w:rPr>
          <w:b/>
          <w:bCs/>
          <w:szCs w:val="24"/>
        </w:rPr>
      </w:pPr>
      <w:r w:rsidRPr="0004659B">
        <w:rPr>
          <w:b/>
          <w:bCs/>
          <w:szCs w:val="24"/>
        </w:rPr>
        <w:t>INDIKACE</w:t>
      </w:r>
    </w:p>
    <w:p w:rsidR="000C310D" w:rsidRPr="00B47A04" w:rsidRDefault="000C310D" w:rsidP="003E5BEB">
      <w:pPr>
        <w:autoSpaceDE w:val="0"/>
        <w:autoSpaceDN w:val="0"/>
        <w:adjustRightInd w:val="0"/>
        <w:spacing w:before="120" w:after="120"/>
        <w:jc w:val="both"/>
        <w:rPr>
          <w:bCs/>
          <w:szCs w:val="24"/>
        </w:rPr>
      </w:pPr>
      <w:r>
        <w:t>Jehly jsou určeny k podávání běžných lokálních dentálních anestézii.</w:t>
      </w:r>
    </w:p>
    <w:p w:rsidR="000C310D" w:rsidRPr="00B47A04" w:rsidRDefault="000C310D" w:rsidP="003E5BEB">
      <w:pPr>
        <w:autoSpaceDE w:val="0"/>
        <w:autoSpaceDN w:val="0"/>
        <w:adjustRightInd w:val="0"/>
        <w:spacing w:before="120" w:after="120"/>
        <w:jc w:val="both"/>
        <w:rPr>
          <w:b/>
          <w:szCs w:val="24"/>
        </w:rPr>
      </w:pPr>
      <w:r>
        <w:t>Jehly jsou určeny na maxilofaciální injekce.</w:t>
      </w:r>
    </w:p>
    <w:p w:rsidR="000C310D" w:rsidRPr="002352C0" w:rsidRDefault="000C310D" w:rsidP="003E5BEB">
      <w:pPr>
        <w:autoSpaceDE w:val="0"/>
        <w:autoSpaceDN w:val="0"/>
        <w:adjustRightInd w:val="0"/>
        <w:spacing w:before="120" w:after="120"/>
        <w:jc w:val="both"/>
        <w:rPr>
          <w:b/>
          <w:szCs w:val="24"/>
          <w:lang w:eastAsia="fr-FR"/>
        </w:rPr>
      </w:pPr>
    </w:p>
    <w:p w:rsidR="004A4E00" w:rsidRPr="00B47A04" w:rsidRDefault="0004659B" w:rsidP="004A4E00">
      <w:pPr>
        <w:autoSpaceDE w:val="0"/>
        <w:autoSpaceDN w:val="0"/>
        <w:adjustRightInd w:val="0"/>
        <w:spacing w:before="120" w:after="120"/>
        <w:jc w:val="both"/>
        <w:rPr>
          <w:b/>
          <w:bCs/>
          <w:szCs w:val="24"/>
        </w:rPr>
      </w:pPr>
      <w:r w:rsidRPr="0004659B">
        <w:rPr>
          <w:b/>
          <w:bCs/>
          <w:szCs w:val="24"/>
        </w:rPr>
        <w:t>KONTRAINDIKACE</w:t>
      </w:r>
    </w:p>
    <w:p w:rsidR="000C310D" w:rsidRPr="0004659B" w:rsidRDefault="0004659B" w:rsidP="003E5BEB">
      <w:pPr>
        <w:spacing w:before="120" w:after="120"/>
        <w:jc w:val="both"/>
        <w:rPr>
          <w:rFonts w:cs="Times New Roman"/>
          <w:szCs w:val="24"/>
        </w:rPr>
      </w:pPr>
      <w:r w:rsidRPr="0004659B">
        <w:rPr>
          <w:rFonts w:cs="Times New Roman"/>
          <w:szCs w:val="24"/>
        </w:rPr>
        <w:t>Přecitlivělost na jakoukoli složku přípravku.</w:t>
      </w:r>
    </w:p>
    <w:p w:rsidR="0004659B" w:rsidRPr="0004659B" w:rsidRDefault="0004659B" w:rsidP="003E5BEB">
      <w:pPr>
        <w:spacing w:before="120" w:after="120"/>
        <w:jc w:val="both"/>
        <w:rPr>
          <w:rFonts w:cs="Times New Roman"/>
          <w:szCs w:val="24"/>
        </w:rPr>
      </w:pPr>
    </w:p>
    <w:p w:rsidR="004A4E00" w:rsidRPr="00B47A04" w:rsidRDefault="0004659B" w:rsidP="004A4E00">
      <w:pPr>
        <w:autoSpaceDE w:val="0"/>
        <w:autoSpaceDN w:val="0"/>
        <w:adjustRightInd w:val="0"/>
        <w:spacing w:before="120" w:after="120"/>
        <w:jc w:val="both"/>
        <w:rPr>
          <w:b/>
          <w:bCs/>
          <w:szCs w:val="24"/>
        </w:rPr>
      </w:pPr>
      <w:r w:rsidRPr="0004659B">
        <w:rPr>
          <w:b/>
          <w:bCs/>
          <w:szCs w:val="24"/>
        </w:rPr>
        <w:t>NÁVOD K POUŽITÍ</w:t>
      </w:r>
    </w:p>
    <w:p w:rsidR="000C310D" w:rsidRPr="00B47A04" w:rsidRDefault="000C310D" w:rsidP="003E5BEB">
      <w:pPr>
        <w:spacing w:before="120" w:after="120"/>
        <w:jc w:val="both"/>
        <w:rPr>
          <w:rFonts w:cs="Times New Roman"/>
          <w:szCs w:val="24"/>
        </w:rPr>
      </w:pPr>
      <w:r>
        <w:t>• Plombu záruky sterility porušte až těsně před použitím otočením dvou částí ochranného pouzdra v opačných směrech.</w:t>
      </w:r>
    </w:p>
    <w:p w:rsidR="000C310D" w:rsidRPr="00B47A04" w:rsidRDefault="000C310D" w:rsidP="003E5BEB">
      <w:pPr>
        <w:spacing w:before="120" w:after="120"/>
        <w:jc w:val="both"/>
        <w:rPr>
          <w:rFonts w:cs="Times New Roman"/>
          <w:szCs w:val="24"/>
        </w:rPr>
      </w:pPr>
      <w:r>
        <w:t>• Našroubujte jehlu se závitem na kužel stříkačky se závitem.</w:t>
      </w:r>
    </w:p>
    <w:p w:rsidR="000C310D" w:rsidRPr="00B47A04" w:rsidRDefault="000C310D" w:rsidP="003E5BEB">
      <w:pPr>
        <w:spacing w:before="120" w:after="120"/>
        <w:jc w:val="both"/>
        <w:rPr>
          <w:rFonts w:cs="Times New Roman"/>
          <w:szCs w:val="24"/>
        </w:rPr>
      </w:pPr>
      <w:r>
        <w:t>• Odstraňte plastové víčko těsně před podáním injekce.  Může se opětovně použít na vytažení jehly ze stříkačky, aby se předešlo riziku píchnutí jehlou.</w:t>
      </w:r>
    </w:p>
    <w:p w:rsidR="000C310D" w:rsidRPr="00B47A04" w:rsidRDefault="000C310D" w:rsidP="003E5BEB">
      <w:pPr>
        <w:spacing w:before="120" w:after="120"/>
        <w:jc w:val="both"/>
        <w:rPr>
          <w:rFonts w:cs="Times New Roman"/>
          <w:szCs w:val="24"/>
        </w:rPr>
      </w:pPr>
      <w:r>
        <w:t>• Zlikvidujte použitou jehlu do nádoby odolné proti propíchnutí v souladu se všemi platnými předpisy týkajícími se zdravotnického odpadu.</w:t>
      </w:r>
    </w:p>
    <w:p w:rsidR="000C310D" w:rsidRPr="002352C0" w:rsidRDefault="000C310D" w:rsidP="003E5BEB">
      <w:pPr>
        <w:spacing w:before="120" w:after="120"/>
        <w:jc w:val="both"/>
        <w:rPr>
          <w:rFonts w:cs="Times New Roman"/>
          <w:b/>
          <w:szCs w:val="24"/>
        </w:rPr>
      </w:pPr>
    </w:p>
    <w:p w:rsidR="005A44A7" w:rsidRDefault="005A44A7" w:rsidP="005A44A7">
      <w:pPr>
        <w:spacing w:before="120" w:after="120"/>
        <w:jc w:val="both"/>
        <w:rPr>
          <w:rFonts w:cs="Times New Roman"/>
          <w:b/>
          <w:szCs w:val="24"/>
        </w:rPr>
      </w:pPr>
      <w:r>
        <w:rPr>
          <w:b/>
          <w:szCs w:val="24"/>
        </w:rPr>
        <w:t>VAROVÁNÍ</w:t>
      </w:r>
    </w:p>
    <w:p w:rsidR="000C310D" w:rsidRPr="00B47A04" w:rsidRDefault="000C310D" w:rsidP="003E5BEB">
      <w:pPr>
        <w:spacing w:before="120" w:after="120"/>
        <w:jc w:val="both"/>
        <w:rPr>
          <w:rFonts w:cs="Times New Roman"/>
          <w:szCs w:val="24"/>
        </w:rPr>
      </w:pPr>
      <w:r>
        <w:t>• Víčko na jehlu nikdy znovu nenasazujte ručně. Používejte pouze schválené postupy na opětovné nasazení víčka na jehlu.  Opětovné nasazování víčka na jehlu ručně nebo opětovné nasazování víčka na ohnutou nebo zlomenou jehlu může způsobit nežádoucí píchnutí jehlou.</w:t>
      </w:r>
    </w:p>
    <w:p w:rsidR="000C310D" w:rsidRPr="00B47A04" w:rsidRDefault="000C310D" w:rsidP="003E5BEB">
      <w:pPr>
        <w:spacing w:before="120" w:after="120"/>
        <w:jc w:val="both"/>
        <w:rPr>
          <w:rFonts w:cs="Times New Roman"/>
          <w:szCs w:val="24"/>
        </w:rPr>
      </w:pPr>
      <w:r>
        <w:t>• Jehly neohýbejte, nelámejte ani jinak nenamáhejte, protože byste mohli způsobit vážné zranění sobě a / nebo pacientovi.</w:t>
      </w:r>
    </w:p>
    <w:p w:rsidR="000C310D" w:rsidRPr="00B47A04" w:rsidRDefault="000C310D" w:rsidP="003E5BEB">
      <w:pPr>
        <w:spacing w:before="120" w:after="120"/>
        <w:jc w:val="both"/>
        <w:rPr>
          <w:rFonts w:cs="Times New Roman"/>
          <w:szCs w:val="24"/>
        </w:rPr>
      </w:pPr>
      <w:r>
        <w:t>• Nevkládejte jehlu na kužel během podávání injekce, protože jehly by se mohly zlomit a zaseknout v tkáni pacienta a působit vážné trvalé zranění.  Nepoužívejte krátké jehly (&lt; 30 mm), když je očekávaná hloubka v měkkém tkáni téměř stejná jako délka jehly.</w:t>
      </w:r>
    </w:p>
    <w:p w:rsidR="000C310D" w:rsidRPr="00B47A04" w:rsidRDefault="000C310D" w:rsidP="003E5BEB">
      <w:pPr>
        <w:spacing w:before="120" w:after="120"/>
        <w:jc w:val="both"/>
        <w:rPr>
          <w:rFonts w:cs="Times New Roman"/>
          <w:szCs w:val="24"/>
        </w:rPr>
      </w:pPr>
      <w:r>
        <w:t>• Během podávání injekce se vyhýbejte příliš velkému tlaku a nadměrným pohybem s jehlou, protože to může způsobit zlomení jehly, což může vést k vážnému zranění vás a / nebo pacienta.</w:t>
      </w:r>
    </w:p>
    <w:p w:rsidR="000C310D" w:rsidRPr="00B47A04" w:rsidRDefault="000C310D" w:rsidP="003E5BEB">
      <w:pPr>
        <w:spacing w:before="120" w:after="120"/>
        <w:jc w:val="both"/>
        <w:rPr>
          <w:rFonts w:cs="Times New Roman"/>
          <w:szCs w:val="24"/>
        </w:rPr>
      </w:pPr>
      <w:r>
        <w:t>• Buďte zvlášť opatrní při změně polohy jehly u pacienta, který má strach.</w:t>
      </w:r>
    </w:p>
    <w:p w:rsidR="0004659B" w:rsidRPr="0004659B" w:rsidRDefault="0004659B" w:rsidP="00BB06D0">
      <w:pPr>
        <w:spacing w:before="120" w:after="120"/>
        <w:jc w:val="both"/>
        <w:rPr>
          <w:szCs w:val="24"/>
        </w:rPr>
      </w:pPr>
      <w:r w:rsidRPr="0004659B">
        <w:t xml:space="preserve">• </w:t>
      </w:r>
      <w:r w:rsidR="000C310D" w:rsidRPr="0004659B">
        <w:rPr>
          <w:szCs w:val="24"/>
        </w:rPr>
        <w:t>Pro Septoject XL: vyhýbejte se příliš rychlému podání injekce a / nebo nadměrnému tlaku. Mohlo by to vést ke zvýšené bolesti pacienta během podávání.</w:t>
      </w:r>
    </w:p>
    <w:p w:rsidR="00AE551A" w:rsidRPr="00B47A04" w:rsidRDefault="000C310D" w:rsidP="00BB06D0">
      <w:pPr>
        <w:spacing w:before="120" w:after="120"/>
        <w:jc w:val="both"/>
        <w:rPr>
          <w:rFonts w:cs="Times New Roman"/>
          <w:color w:val="0000FF"/>
          <w:szCs w:val="24"/>
        </w:rPr>
      </w:pPr>
      <w:r>
        <w:rPr>
          <w:color w:val="0000FF"/>
          <w:szCs w:val="24"/>
        </w:rPr>
        <w:br w:type="page"/>
      </w:r>
    </w:p>
    <w:p w:rsidR="005A44A7" w:rsidRDefault="0004659B" w:rsidP="005A44A7">
      <w:pPr>
        <w:spacing w:before="120" w:after="120"/>
        <w:jc w:val="both"/>
        <w:rPr>
          <w:rFonts w:cs="Times New Roman"/>
          <w:b/>
          <w:szCs w:val="24"/>
        </w:rPr>
      </w:pPr>
      <w:r w:rsidRPr="0004659B">
        <w:rPr>
          <w:b/>
          <w:szCs w:val="24"/>
        </w:rPr>
        <w:lastRenderedPageBreak/>
        <w:t>BEZPEČNOSTNÍ OPATŘENÍ PRO POUŽITÍ</w:t>
      </w:r>
    </w:p>
    <w:p w:rsidR="000C310D" w:rsidRPr="00B47A04" w:rsidRDefault="000C310D" w:rsidP="003E5BEB">
      <w:pPr>
        <w:spacing w:before="120" w:after="120"/>
        <w:jc w:val="both"/>
        <w:rPr>
          <w:rFonts w:cs="Times New Roman"/>
          <w:szCs w:val="24"/>
        </w:rPr>
      </w:pPr>
      <w:r>
        <w:t>• Uchovávejte v ochranném obalu až do použití.</w:t>
      </w:r>
    </w:p>
    <w:p w:rsidR="000C310D" w:rsidRPr="00B47A04" w:rsidRDefault="000C310D" w:rsidP="003E5BEB">
      <w:pPr>
        <w:spacing w:before="120" w:after="120"/>
        <w:jc w:val="both"/>
        <w:rPr>
          <w:rFonts w:cs="Times New Roman"/>
          <w:szCs w:val="24"/>
        </w:rPr>
      </w:pPr>
      <w:r>
        <w:t>• Přečtěte si návod k použití přiložený k injekčnímu zařízení.</w:t>
      </w:r>
    </w:p>
    <w:p w:rsidR="000C310D" w:rsidRPr="00B47A04" w:rsidRDefault="000C310D" w:rsidP="003E5BEB">
      <w:pPr>
        <w:spacing w:before="120" w:after="120"/>
        <w:jc w:val="both"/>
        <w:rPr>
          <w:rFonts w:cs="Times New Roman"/>
          <w:szCs w:val="24"/>
        </w:rPr>
      </w:pPr>
      <w:r>
        <w:t>• Pokud je plomba poškozená, jehla NENÍ STERILNÍ a NESMÍ SE POUŽÍT.</w:t>
      </w:r>
    </w:p>
    <w:p w:rsidR="00963D76" w:rsidRDefault="00963D76" w:rsidP="00963D76">
      <w:pPr>
        <w:spacing w:before="120" w:after="120"/>
        <w:jc w:val="both"/>
        <w:rPr>
          <w:lang w:val="en-US"/>
        </w:rPr>
      </w:pPr>
      <w:r>
        <w:rPr>
          <w:lang w:val="en-US"/>
        </w:rPr>
        <w:object w:dxaOrig="615"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pt" o:ole="">
            <v:imagedata r:id="rId7" o:title=""/>
          </v:shape>
          <o:OLEObject Type="Embed" ProgID="PBrush" ShapeID="_x0000_i1025" DrawAspect="Content" ObjectID="_1560754392" r:id="rId8"/>
        </w:object>
      </w:r>
    </w:p>
    <w:p w:rsidR="000C310D" w:rsidRPr="00B47A04" w:rsidRDefault="000C310D" w:rsidP="003E5BEB">
      <w:pPr>
        <w:spacing w:before="120" w:after="120"/>
        <w:jc w:val="both"/>
        <w:rPr>
          <w:rFonts w:cs="Times New Roman"/>
          <w:szCs w:val="24"/>
        </w:rPr>
      </w:pPr>
      <w:r>
        <w:t>• Pouze na jedno použití: Toto injekční zařízení je určené pouze pro jednoho pacienta. Jakékoli opětovné použití vystavuje ostatní pacienty a uživatele závažným rizikům včetně infekce a traumatu, protože jehla již není sterilní a je náchylnější na zlomení.</w:t>
      </w:r>
    </w:p>
    <w:p w:rsidR="000C310D" w:rsidRPr="00B47A04" w:rsidRDefault="000C310D" w:rsidP="003E5BEB">
      <w:pPr>
        <w:spacing w:before="120" w:after="120"/>
        <w:jc w:val="both"/>
        <w:rPr>
          <w:rFonts w:cs="Times New Roman"/>
          <w:szCs w:val="24"/>
        </w:rPr>
      </w:pPr>
      <w:r>
        <w:t>• Pokud se vyžaduje několik injekcí, vyměňte jehlu pro každou náplň, aby minimalizovalo riziko poškození hrotu jehly.</w:t>
      </w:r>
    </w:p>
    <w:p w:rsidR="000C310D" w:rsidRPr="00B47A04" w:rsidRDefault="000C310D" w:rsidP="00BB06D0">
      <w:pPr>
        <w:spacing w:before="120" w:after="120"/>
        <w:jc w:val="center"/>
        <w:rPr>
          <w:rFonts w:cs="Times New Roman"/>
          <w:b/>
          <w:szCs w:val="24"/>
        </w:rPr>
      </w:pPr>
      <w:r>
        <w:rPr>
          <w:b/>
          <w:szCs w:val="24"/>
        </w:rPr>
        <w:t>1 pacient / 1 náplň / 1 jehla</w:t>
      </w:r>
    </w:p>
    <w:p w:rsidR="00C65ED3" w:rsidRPr="002F756E" w:rsidRDefault="000C310D" w:rsidP="003E5BEB">
      <w:pPr>
        <w:spacing w:before="120" w:after="120"/>
        <w:jc w:val="both"/>
        <w:rPr>
          <w:rFonts w:cs="Times New Roman"/>
          <w:szCs w:val="24"/>
        </w:rPr>
      </w:pPr>
      <w:r w:rsidRPr="002F756E">
        <w:rPr>
          <w:szCs w:val="24"/>
        </w:rPr>
        <w:t>• Pokyny pro první uživatele jehly Septoject XL:  Protože XL jehly mají větší lumen (otvor) než ostatní jehly, před podáním injekce je nutné stabilizovat měkké tkáně ke snížení rizika odklonu jehly.</w:t>
      </w:r>
    </w:p>
    <w:p w:rsidR="000C310D" w:rsidRPr="00B47A04" w:rsidRDefault="002F756E" w:rsidP="003E5BEB">
      <w:pPr>
        <w:spacing w:before="120" w:after="120"/>
        <w:jc w:val="both"/>
        <w:rPr>
          <w:rFonts w:cs="Times New Roman"/>
          <w:szCs w:val="24"/>
        </w:rPr>
      </w:pPr>
      <w:r>
        <w:t xml:space="preserve">• </w:t>
      </w:r>
      <w:r w:rsidR="000C310D">
        <w:t>Výběr jehly závisí na použití lékařem.</w:t>
      </w:r>
    </w:p>
    <w:p w:rsidR="000C310D" w:rsidRPr="002352C0" w:rsidRDefault="000C310D" w:rsidP="003E5BEB">
      <w:pPr>
        <w:spacing w:before="120" w:after="120"/>
        <w:jc w:val="both"/>
        <w:rPr>
          <w:rFonts w:cs="Times New Roman"/>
          <w:szCs w:val="24"/>
        </w:rPr>
      </w:pPr>
    </w:p>
    <w:p w:rsidR="004A4E00" w:rsidRPr="00B47A04" w:rsidRDefault="002F756E" w:rsidP="003E5BEB">
      <w:pPr>
        <w:spacing w:before="120" w:after="120"/>
        <w:jc w:val="both"/>
        <w:rPr>
          <w:rFonts w:cs="Times New Roman"/>
          <w:b/>
          <w:szCs w:val="24"/>
        </w:rPr>
      </w:pPr>
      <w:r w:rsidRPr="002F756E">
        <w:rPr>
          <w:b/>
          <w:szCs w:val="24"/>
        </w:rPr>
        <w:t>UCHOVÁVÁNÍ</w:t>
      </w:r>
    </w:p>
    <w:p w:rsidR="000C310D" w:rsidRDefault="006F689D" w:rsidP="003E5BEB">
      <w:pPr>
        <w:spacing w:before="120" w:after="120"/>
        <w:jc w:val="both"/>
        <w:rPr>
          <w:rFonts w:cs="Times New Roman"/>
          <w:szCs w:val="24"/>
        </w:rPr>
      </w:pPr>
      <w:r w:rsidRPr="006F689D">
        <w:rPr>
          <w:rFonts w:cs="Times New Roman"/>
          <w:szCs w:val="24"/>
        </w:rPr>
        <w:t xml:space="preserve">Neskladujte při teplotách nad </w:t>
      </w:r>
      <w:r w:rsidR="00963D76">
        <w:rPr>
          <w:rFonts w:cs="Times New Roman"/>
          <w:szCs w:val="24"/>
        </w:rPr>
        <w:t>30</w:t>
      </w:r>
      <w:r w:rsidRPr="006F689D">
        <w:rPr>
          <w:rFonts w:cs="Times New Roman"/>
          <w:szCs w:val="24"/>
        </w:rPr>
        <w:t xml:space="preserve"> °C a chraňte před vlhkem.</w:t>
      </w:r>
    </w:p>
    <w:p w:rsidR="006F689D" w:rsidRPr="002352C0" w:rsidRDefault="006F689D" w:rsidP="003E5BEB">
      <w:pPr>
        <w:spacing w:before="120" w:after="120"/>
        <w:jc w:val="both"/>
        <w:rPr>
          <w:rFonts w:cs="Times New Roman"/>
          <w:szCs w:val="24"/>
        </w:rPr>
      </w:pPr>
    </w:p>
    <w:p w:rsidR="006F689D" w:rsidRDefault="006F689D" w:rsidP="003E5BEB">
      <w:pPr>
        <w:spacing w:before="120" w:after="120"/>
        <w:jc w:val="both"/>
        <w:rPr>
          <w:b/>
          <w:bCs/>
          <w:szCs w:val="24"/>
        </w:rPr>
      </w:pPr>
      <w:r w:rsidRPr="006F689D">
        <w:rPr>
          <w:b/>
          <w:bCs/>
          <w:szCs w:val="24"/>
        </w:rPr>
        <w:t>BALENÍ</w:t>
      </w:r>
    </w:p>
    <w:p w:rsidR="000C310D" w:rsidRPr="00B47A04" w:rsidRDefault="000C310D" w:rsidP="003E5BEB">
      <w:pPr>
        <w:spacing w:before="120" w:after="120"/>
        <w:jc w:val="both"/>
        <w:rPr>
          <w:rFonts w:cs="Times New Roman"/>
          <w:szCs w:val="24"/>
        </w:rPr>
      </w:pPr>
      <w:r>
        <w:t>100 dvoubodových jednorázových neresterilizovatelných dentálních jehel.</w:t>
      </w:r>
    </w:p>
    <w:p w:rsidR="006F689D" w:rsidRPr="006F689D" w:rsidRDefault="006F689D" w:rsidP="004A4E00">
      <w:pPr>
        <w:autoSpaceDE w:val="0"/>
        <w:autoSpaceDN w:val="0"/>
        <w:adjustRightInd w:val="0"/>
        <w:spacing w:before="120" w:after="120"/>
        <w:jc w:val="both"/>
        <w:rPr>
          <w:bCs/>
          <w:szCs w:val="24"/>
        </w:rPr>
      </w:pPr>
    </w:p>
    <w:p w:rsidR="00CF7EC6" w:rsidRDefault="006F689D" w:rsidP="006F689D">
      <w:pPr>
        <w:autoSpaceDE w:val="0"/>
        <w:autoSpaceDN w:val="0"/>
        <w:adjustRightInd w:val="0"/>
        <w:spacing w:before="120" w:after="120"/>
        <w:jc w:val="both"/>
        <w:rPr>
          <w:b/>
          <w:bCs/>
          <w:i/>
          <w:szCs w:val="24"/>
        </w:rPr>
        <w:sectPr w:rsidR="00CF7EC6" w:rsidSect="00FC5AE5">
          <w:headerReference w:type="default" r:id="rId9"/>
          <w:pgSz w:w="11906" w:h="16838" w:code="9"/>
          <w:pgMar w:top="1134" w:right="1134" w:bottom="1134" w:left="1417" w:header="709" w:footer="709" w:gutter="0"/>
          <w:cols w:space="708"/>
          <w:docGrid w:linePitch="360"/>
        </w:sectPr>
      </w:pPr>
      <w:r w:rsidRPr="006F689D">
        <w:rPr>
          <w:b/>
          <w:bCs/>
          <w:i/>
          <w:szCs w:val="24"/>
        </w:rPr>
        <w:t>Jen pro odborné zubní použití</w:t>
      </w:r>
    </w:p>
    <w:tbl>
      <w:tblPr>
        <w:tblW w:w="0" w:type="auto"/>
        <w:tblInd w:w="85" w:type="dxa"/>
        <w:tblCellMar>
          <w:left w:w="70" w:type="dxa"/>
          <w:right w:w="70" w:type="dxa"/>
        </w:tblCellMar>
        <w:tblLook w:val="04A0" w:firstRow="1" w:lastRow="0" w:firstColumn="1" w:lastColumn="0" w:noHBand="0" w:noVBand="1"/>
      </w:tblPr>
      <w:tblGrid>
        <w:gridCol w:w="1190"/>
        <w:gridCol w:w="790"/>
        <w:gridCol w:w="701"/>
        <w:gridCol w:w="1529"/>
      </w:tblGrid>
      <w:tr w:rsidR="00CF7EC6" w:rsidRPr="0097571B" w:rsidTr="00CF7EC6">
        <w:trPr>
          <w:cantSplit/>
        </w:trPr>
        <w:tc>
          <w:tcPr>
            <w:tcW w:w="0" w:type="auto"/>
            <w:gridSpan w:val="4"/>
            <w:tcBorders>
              <w:top w:val="nil"/>
              <w:left w:val="nil"/>
              <w:bottom w:val="single" w:sz="4" w:space="0" w:color="auto"/>
              <w:right w:val="nil"/>
            </w:tcBorders>
            <w:shd w:val="clear" w:color="000000" w:fill="FFFFFF"/>
            <w:vAlign w:val="bottom"/>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lastRenderedPageBreak/>
              <w:t>SEPTOJECT</w:t>
            </w:r>
          </w:p>
        </w:tc>
      </w:tr>
      <w:tr w:rsidR="00CF7EC6" w:rsidRPr="0097571B" w:rsidTr="00CF7EC6">
        <w:trPr>
          <w:cantSplit/>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Ø (mm) x L (mm)</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Ø (Ga)</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CF7EC6">
            <w:pPr>
              <w:jc w:val="center"/>
              <w:rPr>
                <w:rFonts w:eastAsia="Times New Roman" w:cs="Times New Roman"/>
                <w:sz w:val="20"/>
                <w:szCs w:val="20"/>
                <w:lang w:eastAsia="fr-FR"/>
              </w:rPr>
            </w:pPr>
            <w:r>
              <w:rPr>
                <w:rFonts w:eastAsia="Times New Roman" w:cs="Times New Roman"/>
                <w:sz w:val="20"/>
                <w:szCs w:val="20"/>
                <w:lang w:eastAsia="fr-FR"/>
              </w:rPr>
              <w:t>Typ injekce</w:t>
            </w:r>
          </w:p>
        </w:tc>
      </w:tr>
      <w:tr w:rsidR="00CF7EC6" w:rsidRPr="0097571B" w:rsidTr="00CF7EC6">
        <w:trPr>
          <w:cantSplit/>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F7EC6" w:rsidRPr="0097571B" w:rsidRDefault="00CF7EC6" w:rsidP="00CF7EC6">
            <w:pPr>
              <w:rPr>
                <w:rFonts w:eastAsia="Times New Roman" w:cs="Times New Roman"/>
                <w:sz w:val="20"/>
                <w:szCs w:val="20"/>
                <w:lang w:eastAsia="fr-FR"/>
              </w:rPr>
            </w:pPr>
            <w:r>
              <w:rPr>
                <w:rFonts w:eastAsia="Times New Roman" w:cs="Times New Roman"/>
                <w:sz w:val="20"/>
                <w:szCs w:val="20"/>
                <w:lang w:eastAsia="fr-FR"/>
              </w:rPr>
              <w:t>Velmi krátká</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0.3 x 08</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30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F7EC6" w:rsidRPr="0097571B" w:rsidRDefault="00CF7EC6" w:rsidP="00CF7EC6">
            <w:pPr>
              <w:rPr>
                <w:rFonts w:eastAsia="Times New Roman" w:cs="Times New Roman"/>
                <w:sz w:val="20"/>
                <w:szCs w:val="20"/>
                <w:lang w:eastAsia="fr-FR"/>
              </w:rPr>
            </w:pPr>
            <w:r>
              <w:rPr>
                <w:rFonts w:eastAsia="Times New Roman" w:cs="Times New Roman"/>
                <w:sz w:val="20"/>
                <w:szCs w:val="20"/>
                <w:lang w:eastAsia="fr-FR"/>
              </w:rPr>
              <w:t>Intraligamentární</w:t>
            </w:r>
          </w:p>
        </w:tc>
      </w:tr>
      <w:tr w:rsidR="00CF7EC6" w:rsidRPr="0097571B" w:rsidTr="00CF7EC6">
        <w:trPr>
          <w:cantSplit/>
        </w:trPr>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0.3 x 10</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30</w:t>
            </w:r>
          </w:p>
        </w:tc>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r>
      <w:tr w:rsidR="00CF7EC6" w:rsidRPr="0097571B" w:rsidTr="00CF7EC6">
        <w:trPr>
          <w:cantSplit/>
        </w:trPr>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0.3 x 12</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30</w:t>
            </w:r>
          </w:p>
        </w:tc>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r>
      <w:tr w:rsidR="00CF7EC6" w:rsidRPr="0097571B" w:rsidTr="00CF7EC6">
        <w:trPr>
          <w:cantSplit/>
        </w:trPr>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0.4 x 08</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27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F7EC6" w:rsidRPr="0097571B" w:rsidRDefault="00CF7EC6" w:rsidP="00CF7EC6">
            <w:pPr>
              <w:rPr>
                <w:rFonts w:eastAsia="Times New Roman" w:cs="Times New Roman"/>
                <w:sz w:val="20"/>
                <w:szCs w:val="20"/>
                <w:lang w:eastAsia="fr-FR"/>
              </w:rPr>
            </w:pPr>
            <w:r w:rsidRPr="0097571B">
              <w:rPr>
                <w:rFonts w:eastAsia="Times New Roman" w:cs="Times New Roman"/>
                <w:sz w:val="20"/>
                <w:szCs w:val="20"/>
                <w:lang w:eastAsia="fr-FR"/>
              </w:rPr>
              <w:t>Intraseptální</w:t>
            </w:r>
          </w:p>
        </w:tc>
      </w:tr>
      <w:tr w:rsidR="00CF7EC6" w:rsidRPr="0097571B" w:rsidTr="00CF7EC6">
        <w:trPr>
          <w:cantSplit/>
        </w:trPr>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0.4 x 12</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27</w:t>
            </w:r>
          </w:p>
        </w:tc>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r>
      <w:tr w:rsidR="00CF7EC6" w:rsidRPr="0097571B" w:rsidTr="00CF7EC6">
        <w:trPr>
          <w:cantSplit/>
        </w:trPr>
        <w:tc>
          <w:tcPr>
            <w:tcW w:w="0" w:type="auto"/>
            <w:vMerge/>
            <w:tcBorders>
              <w:top w:val="nil"/>
              <w:left w:val="single" w:sz="4" w:space="0" w:color="auto"/>
              <w:bottom w:val="single" w:sz="4" w:space="0" w:color="auto"/>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0.5 x 08</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25</w:t>
            </w:r>
          </w:p>
        </w:tc>
        <w:tc>
          <w:tcPr>
            <w:tcW w:w="0" w:type="auto"/>
            <w:vMerge/>
            <w:tcBorders>
              <w:top w:val="nil"/>
              <w:left w:val="single" w:sz="4" w:space="0" w:color="auto"/>
              <w:bottom w:val="single" w:sz="4" w:space="0" w:color="auto"/>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r>
      <w:tr w:rsidR="00CF7EC6" w:rsidRPr="0097571B" w:rsidTr="00CF7EC6">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EC6" w:rsidRPr="0097571B" w:rsidRDefault="00CF7EC6" w:rsidP="00CF7EC6">
            <w:pPr>
              <w:rPr>
                <w:rFonts w:eastAsia="Times New Roman" w:cs="Times New Roman"/>
                <w:sz w:val="20"/>
                <w:szCs w:val="20"/>
                <w:lang w:eastAsia="fr-FR"/>
              </w:rPr>
            </w:pPr>
            <w:r>
              <w:rPr>
                <w:rFonts w:eastAsia="Times New Roman" w:cs="Times New Roman"/>
                <w:sz w:val="20"/>
                <w:szCs w:val="20"/>
                <w:lang w:eastAsia="fr-FR"/>
              </w:rPr>
              <w:t>Krátká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0.3 x 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30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EC6" w:rsidRPr="0097571B" w:rsidRDefault="00CF7EC6" w:rsidP="00CF7EC6">
            <w:pPr>
              <w:rPr>
                <w:rFonts w:eastAsia="Times New Roman" w:cs="Times New Roman"/>
                <w:sz w:val="20"/>
                <w:szCs w:val="20"/>
                <w:lang w:eastAsia="fr-FR"/>
              </w:rPr>
            </w:pPr>
            <w:r w:rsidRPr="0097571B">
              <w:rPr>
                <w:rFonts w:eastAsia="Times New Roman" w:cs="Times New Roman"/>
                <w:sz w:val="20"/>
                <w:szCs w:val="20"/>
                <w:lang w:eastAsia="fr-FR"/>
              </w:rPr>
              <w:t>Periapikální</w:t>
            </w:r>
          </w:p>
        </w:tc>
      </w:tr>
      <w:tr w:rsidR="00CF7EC6" w:rsidRPr="0097571B" w:rsidTr="00CF7EC6">
        <w:trPr>
          <w:cantSplit/>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0.3 x 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30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r>
      <w:tr w:rsidR="00CF7EC6" w:rsidRPr="0097571B" w:rsidTr="00CF7EC6">
        <w:trPr>
          <w:cantSplit/>
        </w:trPr>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0.3 x 23</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30</w:t>
            </w:r>
          </w:p>
        </w:tc>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r>
      <w:tr w:rsidR="00CF7EC6" w:rsidRPr="0097571B" w:rsidTr="00CF7EC6">
        <w:trPr>
          <w:cantSplit/>
        </w:trPr>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0.3 x 25</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30</w:t>
            </w:r>
          </w:p>
        </w:tc>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r>
      <w:tr w:rsidR="00CF7EC6" w:rsidRPr="0097571B" w:rsidTr="00CF7EC6">
        <w:trPr>
          <w:cantSplit/>
        </w:trPr>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0.4 x 16</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27</w:t>
            </w:r>
          </w:p>
        </w:tc>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r>
      <w:tr w:rsidR="00CF7EC6" w:rsidRPr="0097571B" w:rsidTr="00CF7EC6">
        <w:trPr>
          <w:cantSplit/>
        </w:trPr>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0.4 x 21</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27</w:t>
            </w:r>
          </w:p>
        </w:tc>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r>
      <w:tr w:rsidR="00CF7EC6" w:rsidRPr="0097571B" w:rsidTr="00CF7EC6">
        <w:trPr>
          <w:cantSplit/>
        </w:trPr>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0.4 x 23</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27</w:t>
            </w:r>
          </w:p>
        </w:tc>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r>
      <w:tr w:rsidR="00CF7EC6" w:rsidRPr="0097571B" w:rsidTr="00CF7EC6">
        <w:trPr>
          <w:cantSplit/>
        </w:trPr>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0.4 x 25</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27</w:t>
            </w:r>
          </w:p>
        </w:tc>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r>
      <w:tr w:rsidR="00CF7EC6" w:rsidRPr="0097571B" w:rsidTr="00CF7EC6">
        <w:trPr>
          <w:cantSplit/>
        </w:trPr>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0.5 x 25</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25</w:t>
            </w:r>
          </w:p>
        </w:tc>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r>
      <w:tr w:rsidR="00CF7EC6" w:rsidRPr="0097571B" w:rsidTr="00CF7EC6">
        <w:trPr>
          <w:cantSplit/>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F7EC6" w:rsidRPr="0097571B" w:rsidRDefault="00CF7EC6" w:rsidP="00CF7EC6">
            <w:pPr>
              <w:rPr>
                <w:rFonts w:eastAsia="Times New Roman" w:cs="Times New Roman"/>
                <w:sz w:val="20"/>
                <w:szCs w:val="20"/>
                <w:lang w:eastAsia="fr-FR"/>
              </w:rPr>
            </w:pPr>
            <w:bookmarkStart w:id="0" w:name="_GoBack"/>
            <w:bookmarkEnd w:id="0"/>
            <w:r>
              <w:rPr>
                <w:rFonts w:eastAsia="Times New Roman" w:cs="Times New Roman"/>
                <w:sz w:val="20"/>
                <w:szCs w:val="20"/>
                <w:lang w:eastAsia="fr-FR"/>
              </w:rPr>
              <w:t>Dlouhá</w:t>
            </w:r>
          </w:p>
        </w:tc>
        <w:tc>
          <w:tcPr>
            <w:tcW w:w="0" w:type="auto"/>
            <w:tcBorders>
              <w:top w:val="nil"/>
              <w:left w:val="nil"/>
              <w:bottom w:val="single" w:sz="4" w:space="0" w:color="auto"/>
              <w:right w:val="single" w:sz="4" w:space="0" w:color="auto"/>
            </w:tcBorders>
            <w:shd w:val="clear" w:color="auto" w:fill="auto"/>
            <w:vAlign w:val="center"/>
            <w:hideMark/>
          </w:tcPr>
          <w:p w:rsidR="00CF7EC6" w:rsidRPr="0092430D" w:rsidRDefault="00CF7EC6" w:rsidP="00F4575B">
            <w:pPr>
              <w:jc w:val="center"/>
              <w:rPr>
                <w:rFonts w:eastAsia="Times New Roman" w:cs="Times New Roman"/>
                <w:sz w:val="20"/>
                <w:szCs w:val="20"/>
                <w:lang w:eastAsia="fr-FR"/>
              </w:rPr>
            </w:pPr>
            <w:r w:rsidRPr="0092430D">
              <w:rPr>
                <w:rFonts w:eastAsia="Times New Roman" w:cs="Times New Roman"/>
                <w:sz w:val="20"/>
                <w:szCs w:val="20"/>
                <w:lang w:eastAsia="fr-FR"/>
              </w:rPr>
              <w:t>0.4 x 35</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27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F7EC6" w:rsidRPr="0097571B" w:rsidRDefault="00CF7EC6" w:rsidP="00CF7EC6">
            <w:pPr>
              <w:rPr>
                <w:rFonts w:eastAsia="Times New Roman" w:cs="Times New Roman"/>
                <w:sz w:val="20"/>
                <w:szCs w:val="20"/>
                <w:lang w:eastAsia="fr-FR"/>
              </w:rPr>
            </w:pPr>
            <w:r>
              <w:rPr>
                <w:rFonts w:eastAsia="Times New Roman" w:cs="Times New Roman"/>
                <w:sz w:val="20"/>
                <w:szCs w:val="20"/>
                <w:lang w:eastAsia="fr-FR"/>
              </w:rPr>
              <w:t>Blokace nervu</w:t>
            </w:r>
          </w:p>
        </w:tc>
      </w:tr>
      <w:tr w:rsidR="00CF7EC6" w:rsidRPr="0097571B" w:rsidTr="00CF7EC6">
        <w:trPr>
          <w:cantSplit/>
        </w:trPr>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c>
          <w:tcPr>
            <w:tcW w:w="0" w:type="auto"/>
            <w:tcBorders>
              <w:top w:val="nil"/>
              <w:left w:val="nil"/>
              <w:bottom w:val="single" w:sz="4" w:space="0" w:color="auto"/>
              <w:right w:val="single" w:sz="4" w:space="0" w:color="auto"/>
            </w:tcBorders>
            <w:shd w:val="clear" w:color="auto" w:fill="auto"/>
            <w:vAlign w:val="center"/>
            <w:hideMark/>
          </w:tcPr>
          <w:p w:rsidR="00CF7EC6" w:rsidRPr="0092430D" w:rsidRDefault="00CF7EC6" w:rsidP="00F4575B">
            <w:pPr>
              <w:jc w:val="center"/>
              <w:rPr>
                <w:rFonts w:eastAsia="Times New Roman" w:cs="Times New Roman"/>
                <w:sz w:val="20"/>
                <w:szCs w:val="20"/>
                <w:lang w:eastAsia="fr-FR"/>
              </w:rPr>
            </w:pPr>
            <w:r w:rsidRPr="0092430D">
              <w:rPr>
                <w:rFonts w:eastAsia="Times New Roman" w:cs="Times New Roman"/>
                <w:sz w:val="20"/>
                <w:szCs w:val="20"/>
                <w:lang w:eastAsia="fr-FR"/>
              </w:rPr>
              <w:t>0.4 x 42</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27</w:t>
            </w:r>
          </w:p>
        </w:tc>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r>
      <w:tr w:rsidR="00CF7EC6" w:rsidRPr="0097571B" w:rsidTr="00CF7EC6">
        <w:trPr>
          <w:cantSplit/>
        </w:trPr>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0.5 x 35</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25</w:t>
            </w:r>
          </w:p>
        </w:tc>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r>
      <w:tr w:rsidR="00CF7EC6" w:rsidRPr="0097571B" w:rsidTr="00CF7EC6">
        <w:trPr>
          <w:cantSplit/>
        </w:trPr>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0.5 x 42</w:t>
            </w:r>
          </w:p>
        </w:tc>
        <w:tc>
          <w:tcPr>
            <w:tcW w:w="0" w:type="auto"/>
            <w:tcBorders>
              <w:top w:val="nil"/>
              <w:left w:val="nil"/>
              <w:bottom w:val="single" w:sz="4" w:space="0" w:color="auto"/>
              <w:right w:val="single" w:sz="4" w:space="0" w:color="auto"/>
            </w:tcBorders>
            <w:shd w:val="clear" w:color="auto" w:fill="auto"/>
            <w:vAlign w:val="center"/>
            <w:hideMark/>
          </w:tcPr>
          <w:p w:rsidR="00CF7EC6" w:rsidRPr="0097571B" w:rsidRDefault="00CF7EC6" w:rsidP="00F4575B">
            <w:pPr>
              <w:jc w:val="center"/>
              <w:rPr>
                <w:rFonts w:eastAsia="Times New Roman" w:cs="Times New Roman"/>
                <w:sz w:val="20"/>
                <w:szCs w:val="20"/>
                <w:lang w:eastAsia="fr-FR"/>
              </w:rPr>
            </w:pPr>
            <w:r w:rsidRPr="0097571B">
              <w:rPr>
                <w:rFonts w:eastAsia="Times New Roman" w:cs="Times New Roman"/>
                <w:sz w:val="20"/>
                <w:szCs w:val="20"/>
                <w:lang w:eastAsia="fr-FR"/>
              </w:rPr>
              <w:t>25</w:t>
            </w:r>
          </w:p>
        </w:tc>
        <w:tc>
          <w:tcPr>
            <w:tcW w:w="0" w:type="auto"/>
            <w:vMerge/>
            <w:tcBorders>
              <w:top w:val="nil"/>
              <w:left w:val="single" w:sz="4" w:space="0" w:color="auto"/>
              <w:bottom w:val="single" w:sz="4" w:space="0" w:color="000000"/>
              <w:right w:val="single" w:sz="4" w:space="0" w:color="auto"/>
            </w:tcBorders>
            <w:vAlign w:val="center"/>
            <w:hideMark/>
          </w:tcPr>
          <w:p w:rsidR="00CF7EC6" w:rsidRPr="0097571B" w:rsidRDefault="00CF7EC6" w:rsidP="00F4575B">
            <w:pPr>
              <w:rPr>
                <w:rFonts w:eastAsia="Times New Roman" w:cs="Times New Roman"/>
                <w:sz w:val="20"/>
                <w:szCs w:val="20"/>
                <w:lang w:eastAsia="fr-FR"/>
              </w:rPr>
            </w:pPr>
          </w:p>
        </w:tc>
      </w:tr>
    </w:tbl>
    <w:p w:rsidR="00CF7EC6" w:rsidRPr="006F689D" w:rsidRDefault="00CF7EC6" w:rsidP="00CF7EC6">
      <w:pPr>
        <w:autoSpaceDE w:val="0"/>
        <w:autoSpaceDN w:val="0"/>
        <w:adjustRightInd w:val="0"/>
        <w:spacing w:before="120" w:after="120"/>
        <w:jc w:val="both"/>
        <w:rPr>
          <w:b/>
          <w:bCs/>
          <w:i/>
          <w:szCs w:val="24"/>
        </w:rPr>
      </w:pPr>
      <w:r>
        <w:rPr>
          <w:b/>
          <w:bCs/>
          <w:i/>
          <w:szCs w:val="24"/>
        </w:rPr>
        <w:br w:type="column"/>
      </w:r>
    </w:p>
    <w:tbl>
      <w:tblPr>
        <w:tblW w:w="0" w:type="auto"/>
        <w:tblInd w:w="85" w:type="dxa"/>
        <w:tblCellMar>
          <w:left w:w="70" w:type="dxa"/>
          <w:right w:w="70" w:type="dxa"/>
        </w:tblCellMar>
        <w:tblLook w:val="04A0" w:firstRow="1" w:lastRow="0" w:firstColumn="1" w:lastColumn="0" w:noHBand="0" w:noVBand="1"/>
      </w:tblPr>
      <w:tblGrid>
        <w:gridCol w:w="1190"/>
        <w:gridCol w:w="790"/>
        <w:gridCol w:w="701"/>
        <w:gridCol w:w="1529"/>
      </w:tblGrid>
      <w:tr w:rsidR="00CF7EC6" w:rsidRPr="000B0D9F" w:rsidTr="00CF7EC6">
        <w:tc>
          <w:tcPr>
            <w:tcW w:w="0" w:type="auto"/>
            <w:gridSpan w:val="4"/>
            <w:tcBorders>
              <w:top w:val="nil"/>
              <w:left w:val="nil"/>
              <w:bottom w:val="single" w:sz="4" w:space="0" w:color="auto"/>
              <w:right w:val="nil"/>
            </w:tcBorders>
            <w:shd w:val="clear" w:color="000000" w:fill="FFFFFF"/>
            <w:vAlign w:val="bottom"/>
            <w:hideMark/>
          </w:tcPr>
          <w:p w:rsidR="00CF7EC6" w:rsidRPr="000B0D9F" w:rsidRDefault="00CF7EC6" w:rsidP="00F4575B">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SEPTOJECT</w:t>
            </w:r>
            <w:r>
              <w:rPr>
                <w:rFonts w:eastAsia="Times New Roman" w:cs="Times New Roman"/>
                <w:color w:val="000000"/>
                <w:sz w:val="20"/>
                <w:szCs w:val="20"/>
                <w:lang w:eastAsia="fr-FR"/>
              </w:rPr>
              <w:t xml:space="preserve"> XL</w:t>
            </w:r>
          </w:p>
        </w:tc>
      </w:tr>
      <w:tr w:rsidR="00CF7EC6" w:rsidRPr="000B0D9F" w:rsidTr="00CF7EC6">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7EC6" w:rsidRPr="0097571B" w:rsidRDefault="00CF7EC6" w:rsidP="00CF7EC6">
            <w:pPr>
              <w:jc w:val="center"/>
              <w:rPr>
                <w:rFonts w:eastAsia="Times New Roman" w:cs="Times New Roman"/>
                <w:sz w:val="20"/>
                <w:szCs w:val="20"/>
                <w:lang w:eastAsia="fr-FR"/>
              </w:rPr>
            </w:pPr>
            <w:r w:rsidRPr="0097571B">
              <w:rPr>
                <w:rFonts w:eastAsia="Times New Roman" w:cs="Times New Roman"/>
                <w:sz w:val="20"/>
                <w:szCs w:val="20"/>
                <w:lang w:eastAsia="fr-FR"/>
              </w:rPr>
              <w:t>Ø (mm) x L (mm)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97571B" w:rsidRDefault="00CF7EC6" w:rsidP="00CF7EC6">
            <w:pPr>
              <w:jc w:val="center"/>
              <w:rPr>
                <w:rFonts w:eastAsia="Times New Roman" w:cs="Times New Roman"/>
                <w:sz w:val="20"/>
                <w:szCs w:val="20"/>
                <w:lang w:eastAsia="fr-FR"/>
              </w:rPr>
            </w:pPr>
            <w:r w:rsidRPr="0097571B">
              <w:rPr>
                <w:rFonts w:eastAsia="Times New Roman" w:cs="Times New Roman"/>
                <w:sz w:val="20"/>
                <w:szCs w:val="20"/>
                <w:lang w:eastAsia="fr-FR"/>
              </w:rPr>
              <w:t>Ø (Ga)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97571B" w:rsidRDefault="00CF7EC6" w:rsidP="00CF7EC6">
            <w:pPr>
              <w:jc w:val="center"/>
              <w:rPr>
                <w:rFonts w:eastAsia="Times New Roman" w:cs="Times New Roman"/>
                <w:sz w:val="20"/>
                <w:szCs w:val="20"/>
                <w:lang w:eastAsia="fr-FR"/>
              </w:rPr>
            </w:pPr>
            <w:r>
              <w:rPr>
                <w:rFonts w:eastAsia="Times New Roman" w:cs="Times New Roman"/>
                <w:sz w:val="20"/>
                <w:szCs w:val="20"/>
                <w:lang w:eastAsia="fr-FR"/>
              </w:rPr>
              <w:t>Typ injekce</w:t>
            </w:r>
          </w:p>
        </w:tc>
      </w:tr>
      <w:tr w:rsidR="00CF7EC6" w:rsidRPr="000B0D9F" w:rsidTr="00CF7EC6">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EC6" w:rsidRPr="0097571B" w:rsidRDefault="00CF7EC6" w:rsidP="00CF7EC6">
            <w:pPr>
              <w:rPr>
                <w:rFonts w:eastAsia="Times New Roman" w:cs="Times New Roman"/>
                <w:sz w:val="20"/>
                <w:szCs w:val="20"/>
                <w:lang w:eastAsia="fr-FR"/>
              </w:rPr>
            </w:pPr>
            <w:r>
              <w:rPr>
                <w:rFonts w:eastAsia="Times New Roman" w:cs="Times New Roman"/>
                <w:sz w:val="20"/>
                <w:szCs w:val="20"/>
                <w:lang w:eastAsia="fr-FR"/>
              </w:rPr>
              <w:t>Velmi krátká</w:t>
            </w:r>
          </w:p>
        </w:tc>
        <w:tc>
          <w:tcPr>
            <w:tcW w:w="0" w:type="auto"/>
            <w:tcBorders>
              <w:top w:val="single" w:sz="4" w:space="0" w:color="auto"/>
              <w:left w:val="nil"/>
              <w:bottom w:val="single" w:sz="4" w:space="0" w:color="auto"/>
              <w:right w:val="single" w:sz="4" w:space="0" w:color="auto"/>
            </w:tcBorders>
            <w:shd w:val="clear" w:color="auto" w:fill="auto"/>
            <w:vAlign w:val="center"/>
          </w:tcPr>
          <w:p w:rsidR="00CF7EC6" w:rsidRPr="000B0D9F" w:rsidRDefault="00CF7EC6" w:rsidP="00CF7EC6">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0.3 x 10</w:t>
            </w:r>
          </w:p>
        </w:tc>
        <w:tc>
          <w:tcPr>
            <w:tcW w:w="0" w:type="auto"/>
            <w:tcBorders>
              <w:top w:val="single" w:sz="4" w:space="0" w:color="auto"/>
              <w:left w:val="nil"/>
              <w:bottom w:val="single" w:sz="4" w:space="0" w:color="auto"/>
              <w:right w:val="single" w:sz="4" w:space="0" w:color="auto"/>
            </w:tcBorders>
            <w:shd w:val="clear" w:color="auto" w:fill="auto"/>
            <w:vAlign w:val="center"/>
          </w:tcPr>
          <w:p w:rsidR="00CF7EC6" w:rsidRPr="000B0D9F" w:rsidRDefault="00CF7EC6" w:rsidP="00CF7EC6">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30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EC6" w:rsidRPr="0097571B" w:rsidRDefault="00CF7EC6" w:rsidP="00CF7EC6">
            <w:pPr>
              <w:rPr>
                <w:rFonts w:eastAsia="Times New Roman" w:cs="Times New Roman"/>
                <w:sz w:val="20"/>
                <w:szCs w:val="20"/>
                <w:lang w:eastAsia="fr-FR"/>
              </w:rPr>
            </w:pPr>
            <w:r>
              <w:rPr>
                <w:rFonts w:eastAsia="Times New Roman" w:cs="Times New Roman"/>
                <w:sz w:val="20"/>
                <w:szCs w:val="20"/>
                <w:lang w:eastAsia="fr-FR"/>
              </w:rPr>
              <w:t>Intraligamentární</w:t>
            </w:r>
          </w:p>
        </w:tc>
      </w:tr>
      <w:tr w:rsidR="00CF7EC6" w:rsidRPr="000B0D9F" w:rsidTr="00CF7EC6">
        <w:tc>
          <w:tcPr>
            <w:tcW w:w="0" w:type="auto"/>
            <w:vMerge/>
            <w:tcBorders>
              <w:top w:val="single" w:sz="4" w:space="0" w:color="auto"/>
              <w:left w:val="single" w:sz="4" w:space="0" w:color="auto"/>
              <w:bottom w:val="single" w:sz="4" w:space="0" w:color="auto"/>
              <w:right w:val="single" w:sz="4" w:space="0" w:color="auto"/>
            </w:tcBorders>
            <w:vAlign w:val="center"/>
            <w:hideMark/>
          </w:tcPr>
          <w:p w:rsidR="00CF7EC6" w:rsidRPr="000B0D9F" w:rsidRDefault="00CF7EC6" w:rsidP="00F4575B">
            <w:pPr>
              <w:rPr>
                <w:rFonts w:eastAsia="Times New Roman" w:cs="Times New Roman"/>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F4575B">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0.3 x 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F4575B">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EC6" w:rsidRPr="000B0D9F" w:rsidRDefault="00CF7EC6" w:rsidP="00F4575B">
            <w:pPr>
              <w:rPr>
                <w:rFonts w:eastAsia="Times New Roman" w:cs="Times New Roman"/>
                <w:color w:val="000000"/>
                <w:sz w:val="20"/>
                <w:szCs w:val="20"/>
                <w:lang w:eastAsia="fr-FR"/>
              </w:rPr>
            </w:pPr>
          </w:p>
        </w:tc>
      </w:tr>
      <w:tr w:rsidR="00CF7EC6" w:rsidRPr="0097571B" w:rsidTr="00CF7EC6">
        <w:tc>
          <w:tcPr>
            <w:tcW w:w="0" w:type="auto"/>
            <w:vMerge/>
            <w:tcBorders>
              <w:top w:val="single" w:sz="4" w:space="0" w:color="auto"/>
              <w:left w:val="single" w:sz="4" w:space="0" w:color="auto"/>
              <w:bottom w:val="single" w:sz="4" w:space="0" w:color="auto"/>
              <w:right w:val="single" w:sz="4" w:space="0" w:color="auto"/>
            </w:tcBorders>
            <w:vAlign w:val="center"/>
            <w:hideMark/>
          </w:tcPr>
          <w:p w:rsidR="00CF7EC6" w:rsidRPr="000B0D9F" w:rsidRDefault="00CF7EC6" w:rsidP="00CF7EC6">
            <w:pPr>
              <w:rPr>
                <w:rFonts w:eastAsia="Times New Roman" w:cs="Times New Roman"/>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CF7EC6">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0.4 x 08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CF7EC6">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F7EC6" w:rsidRPr="0097571B" w:rsidRDefault="00CF7EC6" w:rsidP="00CF7EC6">
            <w:pPr>
              <w:rPr>
                <w:rFonts w:eastAsia="Times New Roman" w:cs="Times New Roman"/>
                <w:sz w:val="20"/>
                <w:szCs w:val="20"/>
                <w:lang w:eastAsia="fr-FR"/>
              </w:rPr>
            </w:pPr>
            <w:r w:rsidRPr="0097571B">
              <w:rPr>
                <w:rFonts w:eastAsia="Times New Roman" w:cs="Times New Roman"/>
                <w:sz w:val="20"/>
                <w:szCs w:val="20"/>
                <w:lang w:eastAsia="fr-FR"/>
              </w:rPr>
              <w:t>Intraseptální</w:t>
            </w:r>
          </w:p>
        </w:tc>
      </w:tr>
      <w:tr w:rsidR="00CF7EC6" w:rsidRPr="003F779B" w:rsidTr="00CF7EC6">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EC6" w:rsidRPr="0097571B" w:rsidRDefault="00CF7EC6" w:rsidP="00CF7EC6">
            <w:pPr>
              <w:rPr>
                <w:rFonts w:eastAsia="Times New Roman" w:cs="Times New Roman"/>
                <w:sz w:val="20"/>
                <w:szCs w:val="20"/>
                <w:lang w:eastAsia="fr-FR"/>
              </w:rPr>
            </w:pPr>
            <w:r>
              <w:rPr>
                <w:rFonts w:eastAsia="Times New Roman" w:cs="Times New Roman"/>
                <w:sz w:val="20"/>
                <w:szCs w:val="20"/>
                <w:lang w:eastAsia="fr-FR"/>
              </w:rPr>
              <w:t>Krátká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CF7EC6">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0.3 x 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CF7EC6">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30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EC6" w:rsidRPr="0097571B" w:rsidRDefault="00CF7EC6" w:rsidP="00CF7EC6">
            <w:pPr>
              <w:rPr>
                <w:rFonts w:eastAsia="Times New Roman" w:cs="Times New Roman"/>
                <w:sz w:val="20"/>
                <w:szCs w:val="20"/>
                <w:lang w:eastAsia="fr-FR"/>
              </w:rPr>
            </w:pPr>
            <w:r w:rsidRPr="0097571B">
              <w:rPr>
                <w:rFonts w:eastAsia="Times New Roman" w:cs="Times New Roman"/>
                <w:sz w:val="20"/>
                <w:szCs w:val="20"/>
                <w:lang w:eastAsia="fr-FR"/>
              </w:rPr>
              <w:t>Periapikální</w:t>
            </w:r>
          </w:p>
        </w:tc>
      </w:tr>
      <w:tr w:rsidR="00CF7EC6" w:rsidRPr="000B0D9F" w:rsidTr="00CF7EC6">
        <w:tc>
          <w:tcPr>
            <w:tcW w:w="0" w:type="auto"/>
            <w:vMerge/>
            <w:tcBorders>
              <w:top w:val="single" w:sz="4" w:space="0" w:color="auto"/>
              <w:left w:val="single" w:sz="4" w:space="0" w:color="auto"/>
              <w:bottom w:val="single" w:sz="4" w:space="0" w:color="auto"/>
              <w:right w:val="single" w:sz="4" w:space="0" w:color="auto"/>
            </w:tcBorders>
            <w:vAlign w:val="center"/>
            <w:hideMark/>
          </w:tcPr>
          <w:p w:rsidR="00CF7EC6" w:rsidRPr="00B32127" w:rsidRDefault="00CF7EC6" w:rsidP="00F4575B">
            <w:pPr>
              <w:rPr>
                <w:rFonts w:eastAsia="Times New Roman" w:cs="Times New Roman"/>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F4575B">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0.3 x 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F4575B">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EC6" w:rsidRPr="000B0D9F" w:rsidRDefault="00CF7EC6" w:rsidP="00F4575B">
            <w:pPr>
              <w:rPr>
                <w:rFonts w:eastAsia="Times New Roman" w:cs="Times New Roman"/>
                <w:color w:val="000000"/>
                <w:sz w:val="20"/>
                <w:szCs w:val="20"/>
                <w:lang w:eastAsia="fr-FR"/>
              </w:rPr>
            </w:pPr>
          </w:p>
        </w:tc>
      </w:tr>
      <w:tr w:rsidR="00CF7EC6" w:rsidRPr="000B0D9F" w:rsidTr="00CF7EC6">
        <w:tc>
          <w:tcPr>
            <w:tcW w:w="0" w:type="auto"/>
            <w:vMerge/>
            <w:tcBorders>
              <w:top w:val="single" w:sz="4" w:space="0" w:color="auto"/>
              <w:left w:val="single" w:sz="4" w:space="0" w:color="auto"/>
              <w:bottom w:val="single" w:sz="4" w:space="0" w:color="auto"/>
              <w:right w:val="single" w:sz="4" w:space="0" w:color="auto"/>
            </w:tcBorders>
            <w:vAlign w:val="center"/>
            <w:hideMark/>
          </w:tcPr>
          <w:p w:rsidR="00CF7EC6" w:rsidRPr="000B0D9F" w:rsidRDefault="00CF7EC6" w:rsidP="00F4575B">
            <w:pPr>
              <w:rPr>
                <w:rFonts w:eastAsia="Times New Roman" w:cs="Times New Roman"/>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F4575B">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0.3 x 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F4575B">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EC6" w:rsidRPr="000B0D9F" w:rsidRDefault="00CF7EC6" w:rsidP="00F4575B">
            <w:pPr>
              <w:rPr>
                <w:rFonts w:eastAsia="Times New Roman" w:cs="Times New Roman"/>
                <w:color w:val="000000"/>
                <w:sz w:val="20"/>
                <w:szCs w:val="20"/>
                <w:lang w:eastAsia="fr-FR"/>
              </w:rPr>
            </w:pPr>
          </w:p>
        </w:tc>
      </w:tr>
      <w:tr w:rsidR="00CF7EC6" w:rsidRPr="000B0D9F" w:rsidTr="00CF7EC6">
        <w:tc>
          <w:tcPr>
            <w:tcW w:w="0" w:type="auto"/>
            <w:vMerge/>
            <w:tcBorders>
              <w:top w:val="single" w:sz="4" w:space="0" w:color="auto"/>
              <w:left w:val="single" w:sz="4" w:space="0" w:color="auto"/>
              <w:bottom w:val="single" w:sz="4" w:space="0" w:color="auto"/>
              <w:right w:val="single" w:sz="4" w:space="0" w:color="auto"/>
            </w:tcBorders>
            <w:vAlign w:val="center"/>
            <w:hideMark/>
          </w:tcPr>
          <w:p w:rsidR="00CF7EC6" w:rsidRPr="000B0D9F" w:rsidRDefault="00CF7EC6" w:rsidP="00F4575B">
            <w:pPr>
              <w:rPr>
                <w:rFonts w:eastAsia="Times New Roman" w:cs="Times New Roman"/>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F4575B">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0.3 x 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F4575B">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EC6" w:rsidRPr="000B0D9F" w:rsidRDefault="00CF7EC6" w:rsidP="00F4575B">
            <w:pPr>
              <w:rPr>
                <w:rFonts w:eastAsia="Times New Roman" w:cs="Times New Roman"/>
                <w:color w:val="000000"/>
                <w:sz w:val="20"/>
                <w:szCs w:val="20"/>
                <w:lang w:eastAsia="fr-FR"/>
              </w:rPr>
            </w:pPr>
          </w:p>
        </w:tc>
      </w:tr>
      <w:tr w:rsidR="00CF7EC6" w:rsidRPr="000B0D9F" w:rsidTr="00CF7EC6">
        <w:tc>
          <w:tcPr>
            <w:tcW w:w="0" w:type="auto"/>
            <w:vMerge/>
            <w:tcBorders>
              <w:top w:val="single" w:sz="4" w:space="0" w:color="auto"/>
              <w:left w:val="single" w:sz="4" w:space="0" w:color="auto"/>
              <w:bottom w:val="single" w:sz="4" w:space="0" w:color="auto"/>
              <w:right w:val="single" w:sz="4" w:space="0" w:color="auto"/>
            </w:tcBorders>
            <w:vAlign w:val="center"/>
            <w:hideMark/>
          </w:tcPr>
          <w:p w:rsidR="00CF7EC6" w:rsidRPr="000B0D9F" w:rsidRDefault="00CF7EC6" w:rsidP="00F4575B">
            <w:pPr>
              <w:rPr>
                <w:rFonts w:eastAsia="Times New Roman" w:cs="Times New Roman"/>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F4575B">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0.4 x 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F4575B">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EC6" w:rsidRPr="000B0D9F" w:rsidRDefault="00CF7EC6" w:rsidP="00F4575B">
            <w:pPr>
              <w:rPr>
                <w:rFonts w:eastAsia="Times New Roman" w:cs="Times New Roman"/>
                <w:color w:val="000000"/>
                <w:sz w:val="20"/>
                <w:szCs w:val="20"/>
                <w:lang w:eastAsia="fr-FR"/>
              </w:rPr>
            </w:pPr>
          </w:p>
        </w:tc>
      </w:tr>
      <w:tr w:rsidR="00CF7EC6" w:rsidRPr="000B0D9F" w:rsidTr="00CF7EC6">
        <w:tc>
          <w:tcPr>
            <w:tcW w:w="0" w:type="auto"/>
            <w:vMerge/>
            <w:tcBorders>
              <w:top w:val="single" w:sz="4" w:space="0" w:color="auto"/>
              <w:left w:val="single" w:sz="4" w:space="0" w:color="auto"/>
              <w:bottom w:val="single" w:sz="4" w:space="0" w:color="auto"/>
              <w:right w:val="single" w:sz="4" w:space="0" w:color="auto"/>
            </w:tcBorders>
            <w:vAlign w:val="center"/>
            <w:hideMark/>
          </w:tcPr>
          <w:p w:rsidR="00CF7EC6" w:rsidRPr="000B0D9F" w:rsidRDefault="00CF7EC6" w:rsidP="00F4575B">
            <w:pPr>
              <w:rPr>
                <w:rFonts w:eastAsia="Times New Roman" w:cs="Times New Roman"/>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F4575B">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0.4 x 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F4575B">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EC6" w:rsidRPr="000B0D9F" w:rsidRDefault="00CF7EC6" w:rsidP="00F4575B">
            <w:pPr>
              <w:rPr>
                <w:rFonts w:eastAsia="Times New Roman" w:cs="Times New Roman"/>
                <w:color w:val="000000"/>
                <w:sz w:val="20"/>
                <w:szCs w:val="20"/>
                <w:lang w:eastAsia="fr-FR"/>
              </w:rPr>
            </w:pPr>
          </w:p>
        </w:tc>
      </w:tr>
      <w:tr w:rsidR="00CF7EC6" w:rsidRPr="000B0D9F" w:rsidTr="00CF7EC6">
        <w:tc>
          <w:tcPr>
            <w:tcW w:w="0" w:type="auto"/>
            <w:vMerge/>
            <w:tcBorders>
              <w:top w:val="single" w:sz="4" w:space="0" w:color="auto"/>
              <w:left w:val="single" w:sz="4" w:space="0" w:color="auto"/>
              <w:bottom w:val="single" w:sz="4" w:space="0" w:color="auto"/>
              <w:right w:val="single" w:sz="4" w:space="0" w:color="auto"/>
            </w:tcBorders>
            <w:vAlign w:val="center"/>
            <w:hideMark/>
          </w:tcPr>
          <w:p w:rsidR="00CF7EC6" w:rsidRPr="000B0D9F" w:rsidRDefault="00CF7EC6" w:rsidP="00F4575B">
            <w:pPr>
              <w:rPr>
                <w:rFonts w:eastAsia="Times New Roman" w:cs="Times New Roman"/>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CF7EC6" w:rsidRPr="000B0D9F" w:rsidRDefault="00CF7EC6" w:rsidP="00F4575B">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0.4 x 25</w:t>
            </w:r>
          </w:p>
        </w:tc>
        <w:tc>
          <w:tcPr>
            <w:tcW w:w="0" w:type="auto"/>
            <w:tcBorders>
              <w:top w:val="single" w:sz="4" w:space="0" w:color="auto"/>
              <w:left w:val="nil"/>
              <w:bottom w:val="single" w:sz="4" w:space="0" w:color="auto"/>
              <w:right w:val="single" w:sz="4" w:space="0" w:color="auto"/>
            </w:tcBorders>
            <w:shd w:val="clear" w:color="auto" w:fill="auto"/>
            <w:vAlign w:val="center"/>
          </w:tcPr>
          <w:p w:rsidR="00CF7EC6" w:rsidRPr="000B0D9F" w:rsidRDefault="00CF7EC6" w:rsidP="00F4575B">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EC6" w:rsidRPr="000B0D9F" w:rsidRDefault="00CF7EC6" w:rsidP="00F4575B">
            <w:pPr>
              <w:rPr>
                <w:rFonts w:eastAsia="Times New Roman" w:cs="Times New Roman"/>
                <w:color w:val="000000"/>
                <w:sz w:val="20"/>
                <w:szCs w:val="20"/>
                <w:lang w:eastAsia="fr-FR"/>
              </w:rPr>
            </w:pPr>
          </w:p>
        </w:tc>
      </w:tr>
      <w:tr w:rsidR="00CF7EC6" w:rsidRPr="000B0D9F" w:rsidTr="00CF7EC6">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EC6" w:rsidRPr="0097571B" w:rsidRDefault="00CF7EC6" w:rsidP="00CF7EC6">
            <w:pPr>
              <w:rPr>
                <w:rFonts w:eastAsia="Times New Roman" w:cs="Times New Roman"/>
                <w:sz w:val="20"/>
                <w:szCs w:val="20"/>
                <w:lang w:eastAsia="fr-FR"/>
              </w:rPr>
            </w:pPr>
            <w:r>
              <w:rPr>
                <w:rFonts w:eastAsia="Times New Roman" w:cs="Times New Roman"/>
                <w:sz w:val="20"/>
                <w:szCs w:val="20"/>
                <w:lang w:eastAsia="fr-FR"/>
              </w:rPr>
              <w:t>Dlouhá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CF7EC6">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0.4 x 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CF7EC6">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27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EC6" w:rsidRPr="0097571B" w:rsidRDefault="00CF7EC6" w:rsidP="00CF7EC6">
            <w:pPr>
              <w:rPr>
                <w:rFonts w:eastAsia="Times New Roman" w:cs="Times New Roman"/>
                <w:sz w:val="20"/>
                <w:szCs w:val="20"/>
                <w:lang w:eastAsia="fr-FR"/>
              </w:rPr>
            </w:pPr>
            <w:r>
              <w:rPr>
                <w:rFonts w:eastAsia="Times New Roman" w:cs="Times New Roman"/>
                <w:sz w:val="20"/>
                <w:szCs w:val="20"/>
                <w:lang w:eastAsia="fr-FR"/>
              </w:rPr>
              <w:t>Blokace nervu</w:t>
            </w:r>
          </w:p>
        </w:tc>
      </w:tr>
      <w:tr w:rsidR="00CF7EC6" w:rsidRPr="000B0D9F" w:rsidTr="00CF7EC6">
        <w:tc>
          <w:tcPr>
            <w:tcW w:w="0" w:type="auto"/>
            <w:vMerge/>
            <w:tcBorders>
              <w:top w:val="single" w:sz="4" w:space="0" w:color="auto"/>
              <w:left w:val="single" w:sz="4" w:space="0" w:color="auto"/>
              <w:bottom w:val="single" w:sz="4" w:space="0" w:color="auto"/>
              <w:right w:val="single" w:sz="4" w:space="0" w:color="auto"/>
            </w:tcBorders>
            <w:vAlign w:val="center"/>
            <w:hideMark/>
          </w:tcPr>
          <w:p w:rsidR="00CF7EC6" w:rsidRPr="000B0D9F" w:rsidRDefault="00CF7EC6" w:rsidP="00F4575B">
            <w:pPr>
              <w:rPr>
                <w:rFonts w:eastAsia="Times New Roman" w:cs="Times New Roman"/>
                <w:color w:val="000000"/>
                <w:sz w:val="20"/>
                <w:szCs w:val="20"/>
                <w:lang w:eastAsia="fr-FR"/>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F4575B">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0.4 x 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F7EC6" w:rsidRPr="000B0D9F" w:rsidRDefault="00CF7EC6" w:rsidP="00F4575B">
            <w:pPr>
              <w:jc w:val="center"/>
              <w:rPr>
                <w:rFonts w:eastAsia="Times New Roman" w:cs="Times New Roman"/>
                <w:color w:val="000000"/>
                <w:sz w:val="20"/>
                <w:szCs w:val="20"/>
                <w:lang w:eastAsia="fr-FR"/>
              </w:rPr>
            </w:pPr>
            <w:r w:rsidRPr="000B0D9F">
              <w:rPr>
                <w:rFonts w:eastAsia="Times New Roman" w:cs="Times New Roman"/>
                <w:color w:val="000000"/>
                <w:sz w:val="20"/>
                <w:szCs w:val="20"/>
                <w:lang w:eastAsia="fr-FR"/>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7EC6" w:rsidRPr="000B0D9F" w:rsidRDefault="00CF7EC6" w:rsidP="00F4575B">
            <w:pPr>
              <w:rPr>
                <w:rFonts w:eastAsia="Times New Roman" w:cs="Times New Roman"/>
                <w:color w:val="000000"/>
                <w:sz w:val="20"/>
                <w:szCs w:val="20"/>
                <w:lang w:eastAsia="fr-FR"/>
              </w:rPr>
            </w:pPr>
          </w:p>
        </w:tc>
      </w:tr>
    </w:tbl>
    <w:p w:rsidR="00CF7EC6" w:rsidRPr="006F689D" w:rsidRDefault="00CF7EC6" w:rsidP="00CF7EC6">
      <w:pPr>
        <w:autoSpaceDE w:val="0"/>
        <w:autoSpaceDN w:val="0"/>
        <w:adjustRightInd w:val="0"/>
        <w:spacing w:before="120" w:after="120"/>
        <w:jc w:val="both"/>
        <w:rPr>
          <w:b/>
          <w:bCs/>
          <w:i/>
          <w:szCs w:val="24"/>
        </w:rPr>
      </w:pPr>
    </w:p>
    <w:sectPr w:rsidR="00CF7EC6" w:rsidRPr="006F689D" w:rsidSect="00CF7EC6">
      <w:type w:val="continuous"/>
      <w:pgSz w:w="11906" w:h="16838" w:code="9"/>
      <w:pgMar w:top="1134" w:right="1134" w:bottom="1134" w:left="141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78D" w:rsidRDefault="0078278D" w:rsidP="0078278D">
      <w:r>
        <w:separator/>
      </w:r>
    </w:p>
  </w:endnote>
  <w:endnote w:type="continuationSeparator" w:id="0">
    <w:p w:rsidR="0078278D" w:rsidRDefault="0078278D" w:rsidP="0078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78D" w:rsidRDefault="0078278D" w:rsidP="0078278D">
      <w:r>
        <w:separator/>
      </w:r>
    </w:p>
  </w:footnote>
  <w:footnote w:type="continuationSeparator" w:id="0">
    <w:p w:rsidR="0078278D" w:rsidRDefault="0078278D" w:rsidP="007827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8D" w:rsidRPr="003078A1" w:rsidRDefault="0078278D" w:rsidP="0078278D">
    <w:pPr>
      <w:pStyle w:val="Zhlav"/>
      <w:jc w:val="right"/>
      <w:rPr>
        <w:b/>
        <w:sz w:val="32"/>
      </w:rPr>
    </w:pPr>
    <w:r>
      <w:rPr>
        <w:b/>
        <w:sz w:val="32"/>
      </w:rPr>
      <w:t>CZ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D3"/>
    <w:rsid w:val="0004659B"/>
    <w:rsid w:val="000A5C6A"/>
    <w:rsid w:val="000C3066"/>
    <w:rsid w:val="000C310D"/>
    <w:rsid w:val="001F3E2B"/>
    <w:rsid w:val="002352C0"/>
    <w:rsid w:val="00260D01"/>
    <w:rsid w:val="002F756E"/>
    <w:rsid w:val="003E5BEB"/>
    <w:rsid w:val="003F698C"/>
    <w:rsid w:val="004471E5"/>
    <w:rsid w:val="00462618"/>
    <w:rsid w:val="004A4E00"/>
    <w:rsid w:val="005A44A7"/>
    <w:rsid w:val="006F689D"/>
    <w:rsid w:val="00756F9B"/>
    <w:rsid w:val="007658D8"/>
    <w:rsid w:val="0078278D"/>
    <w:rsid w:val="00800E8A"/>
    <w:rsid w:val="00963D76"/>
    <w:rsid w:val="00AE551A"/>
    <w:rsid w:val="00B47A04"/>
    <w:rsid w:val="00BB06D0"/>
    <w:rsid w:val="00BB09C3"/>
    <w:rsid w:val="00C65ED3"/>
    <w:rsid w:val="00CE2945"/>
    <w:rsid w:val="00CF7EC6"/>
    <w:rsid w:val="00E6397D"/>
    <w:rsid w:val="00EC0E15"/>
    <w:rsid w:val="00EC0EDD"/>
    <w:rsid w:val="00EC581E"/>
    <w:rsid w:val="00F7005E"/>
    <w:rsid w:val="00FC5AE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463B030-CCD9-4E0F-A414-F389568A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0ED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65ED3"/>
    <w:rPr>
      <w:rFonts w:ascii="Tahoma" w:hAnsi="Tahoma" w:cs="Tahoma"/>
      <w:sz w:val="16"/>
      <w:szCs w:val="16"/>
    </w:rPr>
  </w:style>
  <w:style w:type="character" w:customStyle="1" w:styleId="TextbublinyChar">
    <w:name w:val="Text bubliny Char"/>
    <w:basedOn w:val="Standardnpsmoodstavce"/>
    <w:link w:val="Textbubliny"/>
    <w:uiPriority w:val="99"/>
    <w:semiHidden/>
    <w:rsid w:val="00C65ED3"/>
    <w:rPr>
      <w:rFonts w:ascii="Tahoma" w:hAnsi="Tahoma" w:cs="Tahoma"/>
      <w:sz w:val="16"/>
      <w:szCs w:val="16"/>
    </w:rPr>
  </w:style>
  <w:style w:type="paragraph" w:styleId="Zhlav">
    <w:name w:val="header"/>
    <w:basedOn w:val="Normln"/>
    <w:link w:val="ZhlavChar"/>
    <w:uiPriority w:val="99"/>
    <w:unhideWhenUsed/>
    <w:rsid w:val="0078278D"/>
    <w:pPr>
      <w:tabs>
        <w:tab w:val="center" w:pos="4536"/>
        <w:tab w:val="right" w:pos="9072"/>
      </w:tabs>
    </w:pPr>
  </w:style>
  <w:style w:type="character" w:customStyle="1" w:styleId="ZhlavChar">
    <w:name w:val="Záhlaví Char"/>
    <w:basedOn w:val="Standardnpsmoodstavce"/>
    <w:link w:val="Zhlav"/>
    <w:uiPriority w:val="99"/>
    <w:rsid w:val="0078278D"/>
  </w:style>
  <w:style w:type="paragraph" w:styleId="Zpat">
    <w:name w:val="footer"/>
    <w:basedOn w:val="Normln"/>
    <w:link w:val="ZpatChar"/>
    <w:uiPriority w:val="99"/>
    <w:unhideWhenUsed/>
    <w:rsid w:val="0078278D"/>
    <w:pPr>
      <w:tabs>
        <w:tab w:val="center" w:pos="4536"/>
        <w:tab w:val="right" w:pos="9072"/>
      </w:tabs>
    </w:pPr>
  </w:style>
  <w:style w:type="character" w:customStyle="1" w:styleId="ZpatChar">
    <w:name w:val="Zápatí Char"/>
    <w:basedOn w:val="Standardnpsmoodstavce"/>
    <w:link w:val="Zpat"/>
    <w:uiPriority w:val="99"/>
    <w:rsid w:val="00782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63192">
      <w:bodyDiv w:val="1"/>
      <w:marLeft w:val="0"/>
      <w:marRight w:val="0"/>
      <w:marTop w:val="0"/>
      <w:marBottom w:val="0"/>
      <w:divBdr>
        <w:top w:val="none" w:sz="0" w:space="0" w:color="auto"/>
        <w:left w:val="none" w:sz="0" w:space="0" w:color="auto"/>
        <w:bottom w:val="none" w:sz="0" w:space="0" w:color="auto"/>
        <w:right w:val="none" w:sz="0" w:space="0" w:color="auto"/>
      </w:divBdr>
    </w:div>
    <w:div w:id="493569840">
      <w:bodyDiv w:val="1"/>
      <w:marLeft w:val="0"/>
      <w:marRight w:val="0"/>
      <w:marTop w:val="0"/>
      <w:marBottom w:val="0"/>
      <w:divBdr>
        <w:top w:val="none" w:sz="0" w:space="0" w:color="auto"/>
        <w:left w:val="none" w:sz="0" w:space="0" w:color="auto"/>
        <w:bottom w:val="none" w:sz="0" w:space="0" w:color="auto"/>
        <w:right w:val="none" w:sz="0" w:space="0" w:color="auto"/>
      </w:divBdr>
    </w:div>
    <w:div w:id="644046917">
      <w:bodyDiv w:val="1"/>
      <w:marLeft w:val="0"/>
      <w:marRight w:val="0"/>
      <w:marTop w:val="0"/>
      <w:marBottom w:val="0"/>
      <w:divBdr>
        <w:top w:val="none" w:sz="0" w:space="0" w:color="auto"/>
        <w:left w:val="none" w:sz="0" w:space="0" w:color="auto"/>
        <w:bottom w:val="none" w:sz="0" w:space="0" w:color="auto"/>
        <w:right w:val="none" w:sz="0" w:space="0" w:color="auto"/>
      </w:divBdr>
    </w:div>
    <w:div w:id="936862114">
      <w:bodyDiv w:val="1"/>
      <w:marLeft w:val="0"/>
      <w:marRight w:val="0"/>
      <w:marTop w:val="0"/>
      <w:marBottom w:val="0"/>
      <w:divBdr>
        <w:top w:val="none" w:sz="0" w:space="0" w:color="auto"/>
        <w:left w:val="none" w:sz="0" w:space="0" w:color="auto"/>
        <w:bottom w:val="none" w:sz="0" w:space="0" w:color="auto"/>
        <w:right w:val="none" w:sz="0" w:space="0" w:color="auto"/>
      </w:divBdr>
    </w:div>
    <w:div w:id="1127969494">
      <w:bodyDiv w:val="1"/>
      <w:marLeft w:val="0"/>
      <w:marRight w:val="0"/>
      <w:marTop w:val="0"/>
      <w:marBottom w:val="0"/>
      <w:divBdr>
        <w:top w:val="none" w:sz="0" w:space="0" w:color="auto"/>
        <w:left w:val="none" w:sz="0" w:space="0" w:color="auto"/>
        <w:bottom w:val="none" w:sz="0" w:space="0" w:color="auto"/>
        <w:right w:val="none" w:sz="0" w:space="0" w:color="auto"/>
      </w:divBdr>
    </w:div>
    <w:div w:id="154805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3196</Characters>
  <Application>Microsoft Office Word</Application>
  <DocSecurity>4</DocSecurity>
  <Lines>26</Lines>
  <Paragraphs>7</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Guevel</dc:creator>
  <cp:lastModifiedBy>Pavel Veit</cp:lastModifiedBy>
  <cp:revision>2</cp:revision>
  <cp:lastPrinted>2017-01-17T18:03:00Z</cp:lastPrinted>
  <dcterms:created xsi:type="dcterms:W3CDTF">2017-07-05T08:07:00Z</dcterms:created>
  <dcterms:modified xsi:type="dcterms:W3CDTF">2017-07-05T08:07:00Z</dcterms:modified>
</cp:coreProperties>
</file>